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2FF0" w14:textId="4BAD98DF" w:rsidR="00907092" w:rsidRPr="00C075A1" w:rsidRDefault="00144588" w:rsidP="006C3EEE">
      <w:pPr>
        <w:pStyle w:val="Title"/>
        <w:jc w:val="both"/>
        <w:rPr>
          <w:rFonts w:ascii="Helvetica" w:hAnsi="Helvetica" w:cstheme="minorHAnsi"/>
          <w:caps/>
          <w:sz w:val="22"/>
          <w:szCs w:val="22"/>
        </w:rPr>
      </w:pPr>
      <w:r w:rsidRPr="00C075A1">
        <w:rPr>
          <w:rFonts w:ascii="Helvetica" w:hAnsi="Helvetica" w:cstheme="minorHAnsi"/>
          <w:caps/>
          <w:sz w:val="22"/>
          <w:szCs w:val="22"/>
        </w:rPr>
        <w:t>Citation:</w:t>
      </w:r>
      <w:r w:rsidRPr="00C075A1">
        <w:rPr>
          <w:rFonts w:ascii="Helvetica" w:hAnsi="Helvetica" w:cstheme="minorHAnsi"/>
          <w:caps/>
          <w:spacing w:val="37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caps/>
          <w:sz w:val="22"/>
          <w:szCs w:val="22"/>
        </w:rPr>
        <w:t>Zanemvula</w:t>
      </w:r>
      <w:r w:rsidRPr="00C075A1">
        <w:rPr>
          <w:rFonts w:ascii="Helvetica" w:hAnsi="Helvetica" w:cstheme="minorHAnsi"/>
          <w:caps/>
          <w:spacing w:val="39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caps/>
          <w:sz w:val="22"/>
          <w:szCs w:val="22"/>
        </w:rPr>
        <w:t>Kizito</w:t>
      </w:r>
      <w:r w:rsidRPr="00C075A1">
        <w:rPr>
          <w:rFonts w:ascii="Helvetica" w:hAnsi="Helvetica" w:cstheme="minorHAnsi"/>
          <w:caps/>
          <w:spacing w:val="39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caps/>
          <w:sz w:val="22"/>
          <w:szCs w:val="22"/>
        </w:rPr>
        <w:t>Gatyeni</w:t>
      </w:r>
      <w:r w:rsidRPr="00C075A1">
        <w:rPr>
          <w:rFonts w:ascii="Helvetica" w:hAnsi="Helvetica" w:cstheme="minorHAnsi"/>
          <w:caps/>
          <w:spacing w:val="37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caps/>
          <w:sz w:val="22"/>
          <w:szCs w:val="22"/>
        </w:rPr>
        <w:t>(Zakes)</w:t>
      </w:r>
      <w:r w:rsidRPr="00C075A1">
        <w:rPr>
          <w:rFonts w:ascii="Helvetica" w:hAnsi="Helvetica" w:cstheme="minorHAnsi"/>
          <w:caps/>
          <w:spacing w:val="37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caps/>
          <w:sz w:val="22"/>
          <w:szCs w:val="22"/>
        </w:rPr>
        <w:t>Mda</w:t>
      </w:r>
    </w:p>
    <w:p w14:paraId="0135DA5D" w14:textId="77777777" w:rsidR="00907092" w:rsidRPr="00C075A1" w:rsidRDefault="00907092" w:rsidP="006C3EEE">
      <w:pPr>
        <w:pStyle w:val="BodyText"/>
        <w:spacing w:before="6"/>
        <w:ind w:left="0"/>
        <w:jc w:val="both"/>
        <w:rPr>
          <w:rFonts w:ascii="Helvetica" w:hAnsi="Helvetica" w:cstheme="minorHAnsi"/>
          <w:b/>
          <w:sz w:val="22"/>
          <w:szCs w:val="22"/>
        </w:rPr>
      </w:pPr>
    </w:p>
    <w:p w14:paraId="0A06E2E7" w14:textId="77777777" w:rsidR="00907092" w:rsidRPr="00C075A1" w:rsidRDefault="00144588" w:rsidP="006C3EEE">
      <w:pPr>
        <w:pStyle w:val="BodyText"/>
        <w:spacing w:before="1" w:line="288" w:lineRule="auto"/>
        <w:jc w:val="both"/>
        <w:rPr>
          <w:rFonts w:ascii="Helvetica" w:hAnsi="Helvetica" w:cstheme="minorHAnsi"/>
          <w:sz w:val="22"/>
          <w:szCs w:val="22"/>
        </w:rPr>
      </w:pPr>
      <w:r w:rsidRPr="00C075A1">
        <w:rPr>
          <w:rFonts w:ascii="Helvetica" w:hAnsi="Helvetica" w:cstheme="minorHAnsi"/>
          <w:w w:val="105"/>
          <w:sz w:val="22"/>
          <w:szCs w:val="22"/>
        </w:rPr>
        <w:t xml:space="preserve">Born in 1948 in the Herschel District of the Eastern Cape,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Zanemvula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Kizito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Gatyeni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(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Zakes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)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grew</w:t>
      </w:r>
      <w:r w:rsidRPr="00C075A1">
        <w:rPr>
          <w:rFonts w:ascii="Helvetica" w:hAnsi="Helvetica" w:cstheme="minorHAnsi"/>
          <w:spacing w:val="-46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up in Orlando and then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Dobsonville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>, Soweto. His father was a vocal opponent of apartheid, first as a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member of the African National Congress Youth League, and later as a founding member of the Pan-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African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Congress.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1963,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following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his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arrest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for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political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activities,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he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his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family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left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South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Africa</w:t>
      </w:r>
      <w:r w:rsidRPr="00C075A1">
        <w:rPr>
          <w:rFonts w:ascii="Helvetica" w:hAnsi="Helvetica" w:cstheme="minorHAnsi"/>
          <w:spacing w:val="-4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to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live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</w:t>
      </w:r>
      <w:r w:rsidRPr="00C075A1">
        <w:rPr>
          <w:rFonts w:ascii="Helvetica" w:hAnsi="Helvetica" w:cstheme="minorHAnsi"/>
          <w:spacing w:val="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political exile</w:t>
      </w:r>
      <w:r w:rsidRPr="00C075A1">
        <w:rPr>
          <w:rFonts w:ascii="Helvetica" w:hAnsi="Helvetica" w:cstheme="minorHAnsi"/>
          <w:spacing w:val="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Lesotho.</w:t>
      </w:r>
    </w:p>
    <w:p w14:paraId="453B657A" w14:textId="11BE88D5" w:rsidR="00907092" w:rsidRPr="00C075A1" w:rsidRDefault="00144588" w:rsidP="006C3EEE">
      <w:pPr>
        <w:pStyle w:val="BodyText"/>
        <w:spacing w:before="202" w:line="290" w:lineRule="auto"/>
        <w:ind w:right="140"/>
        <w:jc w:val="both"/>
        <w:rPr>
          <w:rFonts w:ascii="Helvetica" w:hAnsi="Helvetica" w:cstheme="minorHAnsi"/>
          <w:sz w:val="22"/>
          <w:szCs w:val="22"/>
        </w:rPr>
      </w:pPr>
      <w:r w:rsidRPr="00C075A1">
        <w:rPr>
          <w:rFonts w:ascii="Helvetica" w:hAnsi="Helvetica" w:cstheme="minorHAnsi"/>
          <w:w w:val="105"/>
          <w:sz w:val="22"/>
          <w:szCs w:val="22"/>
        </w:rPr>
        <w:t xml:space="preserve">It was when he was at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Peka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High School in Lesotho that the young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Zakes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first tried his hand at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playwriting. His first plays were indebted to the pathfinding works of Gibson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Kente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>, both in their use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music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dance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their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melodramatic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tropes.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From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1966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production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Dead</w:t>
      </w:r>
      <w:r w:rsidRPr="00C075A1">
        <w:rPr>
          <w:rFonts w:ascii="Helvetica" w:hAnsi="Helvetica" w:cstheme="minorHAnsi"/>
          <w:i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End</w:t>
      </w:r>
      <w:r w:rsidRPr="00C075A1">
        <w:rPr>
          <w:rFonts w:ascii="Helvetica" w:hAnsi="Helvetica" w:cstheme="minorHAnsi"/>
          <w:i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(published</w:t>
      </w:r>
      <w:r w:rsidRPr="00C075A1">
        <w:rPr>
          <w:rFonts w:ascii="Helvetica" w:hAnsi="Helvetica" w:cstheme="minorHAnsi"/>
          <w:spacing w:val="-4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only in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1978),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began to refine his approach to the conjunction of political and existential theatre.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In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1976,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 he received his first degree, a Bachelor of Fine Arts from the International Academy of Arts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and Letters in Zurich, Switzerland. He went on to complete an MA in Fine Arts (drama, </w:t>
      </w:r>
      <w:proofErr w:type="gramStart"/>
      <w:r w:rsidRPr="00C075A1">
        <w:rPr>
          <w:rFonts w:ascii="Helvetica" w:hAnsi="Helvetica" w:cstheme="minorHAnsi"/>
          <w:w w:val="105"/>
          <w:sz w:val="22"/>
          <w:szCs w:val="22"/>
        </w:rPr>
        <w:t>radio</w:t>
      </w:r>
      <w:proofErr w:type="gram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and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television)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at Ohio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University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PhD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at the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University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of Cape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Town.</w:t>
      </w:r>
    </w:p>
    <w:p w14:paraId="12B0C916" w14:textId="77777777" w:rsidR="00907092" w:rsidRPr="00C075A1" w:rsidRDefault="00144588" w:rsidP="006C3EEE">
      <w:pPr>
        <w:pStyle w:val="BodyText"/>
        <w:spacing w:before="195" w:line="288" w:lineRule="auto"/>
        <w:ind w:right="110"/>
        <w:jc w:val="both"/>
        <w:rPr>
          <w:rFonts w:ascii="Helvetica" w:hAnsi="Helvetica" w:cstheme="minorHAnsi"/>
          <w:sz w:val="22"/>
          <w:szCs w:val="22"/>
        </w:rPr>
      </w:pP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Mda’s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mature plays are remarkable for their stark settings and their presentation of characters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engaged in the unyielding struggle to secure the means of life and to have their humanity recognized.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His best-known plays, performed in the late-1980s, are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We Shall Sing of the Fatherland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,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The Hill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,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Joys of</w:t>
      </w:r>
      <w:r w:rsidRPr="00C075A1">
        <w:rPr>
          <w:rFonts w:ascii="Helvetica" w:hAnsi="Helvetica" w:cstheme="minorHAnsi"/>
          <w:i/>
          <w:spacing w:val="-46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 xml:space="preserve">War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and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The Girls in Their Sunday Dresses</w:t>
      </w:r>
      <w:r w:rsidRPr="00C075A1">
        <w:rPr>
          <w:rFonts w:ascii="Helvetica" w:hAnsi="Helvetica" w:cstheme="minorHAnsi"/>
          <w:w w:val="105"/>
          <w:sz w:val="22"/>
          <w:szCs w:val="22"/>
        </w:rPr>
        <w:t>. Each explores, in a distinct register, the limbo situation of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the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colonised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caught between structural social violence and the individual’s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endeavour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to refuse its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internalisation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. They combine to form one of the most creative engagements with the familial, </w:t>
      </w:r>
      <w:proofErr w:type="gramStart"/>
      <w:r w:rsidRPr="00C075A1">
        <w:rPr>
          <w:rFonts w:ascii="Helvetica" w:hAnsi="Helvetica" w:cstheme="minorHAnsi"/>
          <w:w w:val="105"/>
          <w:sz w:val="22"/>
          <w:szCs w:val="22"/>
        </w:rPr>
        <w:t>social</w:t>
      </w:r>
      <w:proofErr w:type="gramEnd"/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and psychic consequences of colonial oppression and migrancy.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Mda’s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plays can be understood as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highly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significant</w:t>
      </w:r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anti-Apartheid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works</w:t>
      </w:r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invaluable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contribution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to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decolonization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theatre</w:t>
      </w:r>
      <w:r w:rsidRPr="00C075A1">
        <w:rPr>
          <w:rFonts w:ascii="Helvetica" w:hAnsi="Helvetica" w:cstheme="minorHAnsi"/>
          <w:spacing w:val="-4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more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generally.</w:t>
      </w:r>
    </w:p>
    <w:p w14:paraId="231EFF00" w14:textId="4D9989F9" w:rsidR="00907092" w:rsidRPr="00C075A1" w:rsidRDefault="00144588" w:rsidP="006C3EEE">
      <w:pPr>
        <w:pStyle w:val="BodyText"/>
        <w:spacing w:before="207" w:line="290" w:lineRule="auto"/>
        <w:ind w:right="327"/>
        <w:jc w:val="both"/>
        <w:rPr>
          <w:rFonts w:ascii="Helvetica" w:hAnsi="Helvetica" w:cstheme="minorHAnsi"/>
          <w:sz w:val="22"/>
          <w:szCs w:val="22"/>
        </w:rPr>
      </w:pPr>
      <w:r w:rsidRPr="00C075A1">
        <w:rPr>
          <w:rFonts w:ascii="Helvetica" w:hAnsi="Helvetica" w:cstheme="minorHAnsi"/>
          <w:w w:val="105"/>
          <w:sz w:val="22"/>
          <w:szCs w:val="22"/>
        </w:rPr>
        <w:t xml:space="preserve">As a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playwright-director,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understands community theatre as political activism. He has always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advocated that drama should be understood as a social activity that is available to everyone. Most of</w:t>
      </w:r>
      <w:r w:rsidRPr="00C075A1">
        <w:rPr>
          <w:rFonts w:ascii="Helvetica" w:hAnsi="Helvetica" w:cstheme="minorHAnsi"/>
          <w:spacing w:val="-46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his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works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foreground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actor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are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not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dependent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lights,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proofErr w:type="gramStart"/>
      <w:r w:rsidRPr="00C075A1">
        <w:rPr>
          <w:rFonts w:ascii="Helvetica" w:hAnsi="Helvetica" w:cstheme="minorHAnsi"/>
          <w:w w:val="105"/>
          <w:sz w:val="22"/>
          <w:szCs w:val="22"/>
        </w:rPr>
        <w:t>costumes</w:t>
      </w:r>
      <w:proofErr w:type="gramEnd"/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or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sets,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which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has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made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it</w:t>
      </w:r>
      <w:r w:rsidRPr="00C075A1">
        <w:rPr>
          <w:rFonts w:ascii="Helvetica" w:hAnsi="Helvetica" w:cstheme="minorHAnsi"/>
          <w:spacing w:val="-46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possible to travel to the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most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remote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locations without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compromising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 plays.</w:t>
      </w:r>
    </w:p>
    <w:p w14:paraId="77296AB4" w14:textId="26C99D85" w:rsidR="00907092" w:rsidRPr="00C075A1" w:rsidRDefault="00144588" w:rsidP="006C3EEE">
      <w:pPr>
        <w:pStyle w:val="BodyText"/>
        <w:spacing w:before="195" w:line="290" w:lineRule="auto"/>
        <w:jc w:val="both"/>
        <w:rPr>
          <w:rFonts w:ascii="Helvetica" w:hAnsi="Helvetica" w:cstheme="minorHAnsi"/>
          <w:w w:val="105"/>
          <w:sz w:val="22"/>
          <w:szCs w:val="22"/>
        </w:rPr>
      </w:pPr>
      <w:r w:rsidRPr="00C075A1">
        <w:rPr>
          <w:rFonts w:ascii="Helvetica" w:hAnsi="Helvetica" w:cstheme="minorHAnsi"/>
          <w:w w:val="105"/>
          <w:sz w:val="22"/>
          <w:szCs w:val="22"/>
        </w:rPr>
        <w:t xml:space="preserve">In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1991,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was writer-in-residence at the University of Durham, during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1992,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 he was a visiting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research fellow in the Southern African Research Program at Yale and in the following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year,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 he taught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African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literature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theatre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at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University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Vermont.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returned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to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South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Africa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1994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to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take</w:t>
      </w:r>
      <w:r w:rsidRPr="00C075A1">
        <w:rPr>
          <w:rFonts w:ascii="Helvetica" w:hAnsi="Helvetica" w:cstheme="minorHAnsi"/>
          <w:spacing w:val="-4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up a visiting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professorship in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Dramatic Art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at the University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 Witwatersrand.</w:t>
      </w:r>
    </w:p>
    <w:p w14:paraId="1F6B3325" w14:textId="3B8A7306" w:rsidR="00907092" w:rsidRPr="00C075A1" w:rsidRDefault="00144588" w:rsidP="006C3EEE">
      <w:pPr>
        <w:pStyle w:val="BodyText"/>
        <w:spacing w:line="288" w:lineRule="auto"/>
        <w:ind w:right="140"/>
        <w:jc w:val="both"/>
        <w:rPr>
          <w:rFonts w:ascii="Helvetica" w:hAnsi="Helvetica" w:cstheme="minorHAnsi"/>
          <w:sz w:val="22"/>
          <w:szCs w:val="22"/>
        </w:rPr>
      </w:pP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Zakes</w:t>
      </w:r>
      <w:proofErr w:type="spellEnd"/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</w:t>
      </w:r>
      <w:proofErr w:type="spellEnd"/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established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his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reputation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as</w:t>
      </w:r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one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South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Africa’s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preeminent</w:t>
      </w:r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novelists</w:t>
      </w:r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with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publication</w:t>
      </w:r>
      <w:r w:rsidRPr="00C075A1">
        <w:rPr>
          <w:rFonts w:ascii="Helvetica" w:hAnsi="Helvetica" w:cstheme="minorHAnsi"/>
          <w:spacing w:val="-46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of both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 xml:space="preserve">She Plays with the Darkness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and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 xml:space="preserve">Ways of Dying </w:t>
      </w:r>
      <w:r w:rsidRPr="00C075A1">
        <w:rPr>
          <w:rFonts w:ascii="Helvetica" w:hAnsi="Helvetica" w:cstheme="minorHAnsi"/>
          <w:w w:val="105"/>
          <w:sz w:val="22"/>
          <w:szCs w:val="22"/>
        </w:rPr>
        <w:t>in 1995. As one of the first writers to face and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address the complexities of the post-1990 transition, his fiction not only became the subject of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widespread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scholarly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comment,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proofErr w:type="gramStart"/>
      <w:r w:rsidRPr="00C075A1">
        <w:rPr>
          <w:rFonts w:ascii="Helvetica" w:hAnsi="Helvetica" w:cstheme="minorHAnsi"/>
          <w:w w:val="105"/>
          <w:sz w:val="22"/>
          <w:szCs w:val="22"/>
        </w:rPr>
        <w:t>it</w:t>
      </w:r>
      <w:proofErr w:type="gramEnd"/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was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also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quickly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taken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up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secondary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tertiary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institutions.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Ways</w:t>
      </w:r>
      <w:r w:rsidRPr="00C075A1">
        <w:rPr>
          <w:rFonts w:ascii="Helvetica" w:hAnsi="Helvetica" w:cstheme="minorHAnsi"/>
          <w:i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i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Dying</w:t>
      </w:r>
      <w:r w:rsidRPr="00C075A1">
        <w:rPr>
          <w:rFonts w:ascii="Helvetica" w:hAnsi="Helvetica" w:cstheme="minorHAnsi"/>
          <w:i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was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awarded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M-Net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Book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Prize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1997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has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been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translated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into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twenty-one</w:t>
      </w:r>
      <w:r w:rsidRPr="00C075A1">
        <w:rPr>
          <w:rFonts w:ascii="Helvetica" w:hAnsi="Helvetica" w:cstheme="minorHAnsi"/>
          <w:spacing w:val="-46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languages,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most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recent being</w:t>
      </w:r>
      <w:r w:rsidRPr="00C075A1">
        <w:rPr>
          <w:rFonts w:ascii="Helvetica" w:hAnsi="Helvetica" w:cstheme="minorHAnsi"/>
          <w:spacing w:val="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Turkish.</w:t>
      </w:r>
    </w:p>
    <w:p w14:paraId="360C0518" w14:textId="77777777" w:rsidR="006C3EEE" w:rsidRPr="00C075A1" w:rsidRDefault="006C3EEE" w:rsidP="006C3EEE">
      <w:pPr>
        <w:pStyle w:val="BodyText"/>
        <w:spacing w:before="0" w:line="290" w:lineRule="auto"/>
        <w:ind w:right="140"/>
        <w:jc w:val="both"/>
        <w:rPr>
          <w:rFonts w:ascii="Helvetica" w:hAnsi="Helvetica" w:cstheme="minorHAnsi"/>
          <w:w w:val="105"/>
          <w:sz w:val="22"/>
          <w:szCs w:val="22"/>
        </w:rPr>
      </w:pPr>
    </w:p>
    <w:p w14:paraId="79AAB6C7" w14:textId="77777777" w:rsidR="00C075A1" w:rsidRDefault="00144588" w:rsidP="006C3EEE">
      <w:pPr>
        <w:pStyle w:val="BodyText"/>
        <w:spacing w:before="0" w:line="290" w:lineRule="auto"/>
        <w:ind w:right="140"/>
        <w:jc w:val="both"/>
        <w:rPr>
          <w:rFonts w:ascii="Helvetica" w:hAnsi="Helvetica" w:cstheme="minorHAnsi"/>
          <w:w w:val="105"/>
          <w:sz w:val="22"/>
          <w:szCs w:val="22"/>
        </w:rPr>
      </w:pPr>
      <w:r w:rsidRPr="00C075A1">
        <w:rPr>
          <w:rFonts w:ascii="Helvetica" w:hAnsi="Helvetica" w:cstheme="minorHAnsi"/>
          <w:w w:val="105"/>
          <w:sz w:val="22"/>
          <w:szCs w:val="22"/>
        </w:rPr>
        <w:t xml:space="preserve">Since 1995,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has published a succession of novels that have received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favourable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comment and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have won an array of prizes. Perhaps the most highly regarded is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The Heart of Redness</w:t>
      </w:r>
      <w:r w:rsidRPr="00C075A1">
        <w:rPr>
          <w:rFonts w:ascii="Helvetica" w:hAnsi="Helvetica" w:cstheme="minorHAnsi"/>
          <w:w w:val="105"/>
          <w:sz w:val="22"/>
          <w:szCs w:val="22"/>
        </w:rPr>
        <w:t>. Among other</w:t>
      </w:r>
      <w:r w:rsidRPr="00C075A1">
        <w:rPr>
          <w:rFonts w:ascii="Helvetica" w:hAnsi="Helvetica" w:cstheme="minorHAnsi"/>
          <w:spacing w:val="-46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accolades,</w:t>
      </w:r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i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Heart</w:t>
      </w:r>
      <w:r w:rsidRPr="00C075A1">
        <w:rPr>
          <w:rFonts w:ascii="Helvetica" w:hAnsi="Helvetica" w:cstheme="minorHAnsi"/>
          <w:i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i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Redness</w:t>
      </w:r>
      <w:r w:rsidRPr="00C075A1">
        <w:rPr>
          <w:rFonts w:ascii="Helvetica" w:hAnsi="Helvetica" w:cstheme="minorHAnsi"/>
          <w:i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was</w:t>
      </w:r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awarded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Commonwealth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Writer’s</w:t>
      </w:r>
      <w:r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Prize: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Africa,</w:t>
      </w:r>
      <w:r w:rsidRPr="00C075A1">
        <w:rPr>
          <w:rFonts w:ascii="Helvetica" w:hAnsi="Helvetica" w:cstheme="minorHAnsi"/>
          <w:spacing w:val="-6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Hurston-</w:t>
      </w:r>
      <w:r w:rsidRPr="00C075A1">
        <w:rPr>
          <w:rFonts w:ascii="Helvetica" w:hAnsi="Helvetica" w:cstheme="minorHAnsi"/>
          <w:spacing w:val="-46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Wright Legacy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Award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>Sunday</w:t>
      </w:r>
      <w:r w:rsidRPr="00C075A1">
        <w:rPr>
          <w:rFonts w:ascii="Helvetica" w:hAnsi="Helvetica" w:cstheme="minorHAnsi"/>
          <w:i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i/>
          <w:w w:val="105"/>
          <w:sz w:val="22"/>
          <w:szCs w:val="22"/>
        </w:rPr>
        <w:t xml:space="preserve">Times </w:t>
      </w:r>
      <w:r w:rsidRPr="00C075A1">
        <w:rPr>
          <w:rFonts w:ascii="Helvetica" w:hAnsi="Helvetica" w:cstheme="minorHAnsi"/>
          <w:w w:val="105"/>
          <w:sz w:val="22"/>
          <w:szCs w:val="22"/>
        </w:rPr>
        <w:t>Fiction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Prize.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 xml:space="preserve"> </w:t>
      </w:r>
    </w:p>
    <w:p w14:paraId="2E55290E" w14:textId="77777777" w:rsidR="00C075A1" w:rsidRDefault="00C075A1" w:rsidP="006C3EEE">
      <w:pPr>
        <w:pStyle w:val="BodyText"/>
        <w:spacing w:before="0" w:line="290" w:lineRule="auto"/>
        <w:ind w:right="140"/>
        <w:jc w:val="both"/>
        <w:rPr>
          <w:rFonts w:ascii="Helvetica" w:hAnsi="Helvetica" w:cstheme="minorHAnsi"/>
          <w:w w:val="105"/>
          <w:sz w:val="22"/>
          <w:szCs w:val="22"/>
        </w:rPr>
      </w:pPr>
    </w:p>
    <w:p w14:paraId="7C5F2B47" w14:textId="77777777" w:rsidR="00C075A1" w:rsidRDefault="00C075A1" w:rsidP="006C3EEE">
      <w:pPr>
        <w:pStyle w:val="BodyText"/>
        <w:spacing w:before="0" w:line="290" w:lineRule="auto"/>
        <w:ind w:right="140"/>
        <w:jc w:val="both"/>
        <w:rPr>
          <w:rFonts w:ascii="Helvetica" w:hAnsi="Helvetica" w:cstheme="minorHAnsi"/>
          <w:w w:val="105"/>
          <w:sz w:val="22"/>
          <w:szCs w:val="22"/>
        </w:rPr>
      </w:pPr>
    </w:p>
    <w:p w14:paraId="738161A9" w14:textId="77777777" w:rsidR="00C075A1" w:rsidRDefault="00C075A1" w:rsidP="006C3EEE">
      <w:pPr>
        <w:pStyle w:val="BodyText"/>
        <w:spacing w:before="0" w:line="290" w:lineRule="auto"/>
        <w:ind w:right="140"/>
        <w:jc w:val="both"/>
        <w:rPr>
          <w:rFonts w:ascii="Helvetica" w:hAnsi="Helvetica" w:cstheme="minorHAnsi"/>
          <w:w w:val="105"/>
          <w:sz w:val="22"/>
          <w:szCs w:val="22"/>
        </w:rPr>
      </w:pPr>
    </w:p>
    <w:p w14:paraId="5687AFDB" w14:textId="6A0C435E" w:rsidR="006C3EEE" w:rsidRPr="00C075A1" w:rsidRDefault="00144588" w:rsidP="006C3EEE">
      <w:pPr>
        <w:pStyle w:val="BodyText"/>
        <w:spacing w:before="0" w:line="290" w:lineRule="auto"/>
        <w:ind w:right="140"/>
        <w:jc w:val="both"/>
        <w:rPr>
          <w:rFonts w:ascii="Helvetica" w:hAnsi="Helvetica" w:cstheme="minorHAnsi"/>
          <w:w w:val="105"/>
          <w:sz w:val="22"/>
          <w:szCs w:val="22"/>
        </w:rPr>
      </w:pPr>
      <w:r w:rsidRPr="00C075A1">
        <w:rPr>
          <w:rFonts w:ascii="Helvetica" w:hAnsi="Helvetica" w:cstheme="minorHAnsi"/>
          <w:w w:val="105"/>
          <w:sz w:val="22"/>
          <w:szCs w:val="22"/>
        </w:rPr>
        <w:lastRenderedPageBreak/>
        <w:t>There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undoubtedly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understanding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that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Mda’s</w:t>
      </w:r>
      <w:proofErr w:type="spellEnd"/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proofErr w:type="gramStart"/>
      <w:r w:rsidRPr="00C075A1">
        <w:rPr>
          <w:rFonts w:ascii="Helvetica" w:hAnsi="Helvetica" w:cstheme="minorHAnsi"/>
          <w:w w:val="105"/>
          <w:sz w:val="22"/>
          <w:szCs w:val="22"/>
        </w:rPr>
        <w:t>plays</w:t>
      </w:r>
      <w:proofErr w:type="gramEnd"/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his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novels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constitute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body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work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that</w:t>
      </w:r>
      <w:r w:rsidRPr="00C075A1">
        <w:rPr>
          <w:rFonts w:ascii="Helvetica" w:hAnsi="Helvetica" w:cstheme="minorHAnsi"/>
          <w:spacing w:val="-45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 xml:space="preserve">scholars will always place at the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centre</w:t>
      </w:r>
      <w:proofErr w:type="spellEnd"/>
      <w:r w:rsidRPr="00C075A1">
        <w:rPr>
          <w:rFonts w:ascii="Helvetica" w:hAnsi="Helvetica" w:cstheme="minorHAnsi"/>
          <w:w w:val="105"/>
          <w:sz w:val="22"/>
          <w:szCs w:val="22"/>
        </w:rPr>
        <w:t xml:space="preserve"> of apartheid and post-apartheid literature. If we think of our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literature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as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constituted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at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intersection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social</w:t>
      </w:r>
      <w:r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awareness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aesthetic</w:t>
      </w:r>
      <w:r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exploration,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Mda’s</w:t>
      </w:r>
      <w:proofErr w:type="spellEnd"/>
      <w:r w:rsidR="006C3EEE" w:rsidRPr="00C075A1">
        <w:rPr>
          <w:rFonts w:ascii="Helvetica" w:hAnsi="Helvetica" w:cstheme="minorHAnsi"/>
          <w:w w:val="105"/>
          <w:sz w:val="22"/>
          <w:szCs w:val="22"/>
        </w:rPr>
        <w:t xml:space="preserve"> sustained </w:t>
      </w:r>
      <w:proofErr w:type="spellStart"/>
      <w:r w:rsidR="006C3EEE" w:rsidRPr="00C075A1">
        <w:rPr>
          <w:rFonts w:ascii="Helvetica" w:hAnsi="Helvetica" w:cstheme="minorHAnsi"/>
          <w:w w:val="105"/>
          <w:sz w:val="22"/>
          <w:szCs w:val="22"/>
        </w:rPr>
        <w:t>endeavour</w:t>
      </w:r>
      <w:proofErr w:type="spellEnd"/>
      <w:r w:rsidR="006C3EEE" w:rsidRPr="00C075A1">
        <w:rPr>
          <w:rFonts w:ascii="Helvetica" w:hAnsi="Helvetica" w:cstheme="minorHAnsi"/>
          <w:w w:val="105"/>
          <w:sz w:val="22"/>
          <w:szCs w:val="22"/>
        </w:rPr>
        <w:t xml:space="preserve"> is a lens through which we can discern its possibilities. His work has expanded</w:t>
      </w:r>
      <w:r w:rsidR="006C3EEE" w:rsidRPr="00C075A1">
        <w:rPr>
          <w:rFonts w:ascii="Helvetica" w:hAnsi="Helvetica" w:cstheme="minorHAnsi"/>
          <w:spacing w:val="-46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our sense of what it means to be South African, how one can enter a literary dialogue with global</w:t>
      </w:r>
      <w:r w:rsidR="006C3EEE"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concerns,</w:t>
      </w:r>
      <w:r w:rsidR="006C3EEE"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="006C3EEE"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how</w:t>
      </w:r>
      <w:r w:rsidR="006C3EEE"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ideas</w:t>
      </w:r>
      <w:r w:rsidR="006C3EEE"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="006C3EEE"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insights</w:t>
      </w:r>
      <w:r w:rsidR="006C3EEE"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can</w:t>
      </w:r>
      <w:r w:rsidR="006C3EEE" w:rsidRPr="00C075A1">
        <w:rPr>
          <w:rFonts w:ascii="Helvetica" w:hAnsi="Helvetica" w:cstheme="minorHAnsi"/>
          <w:spacing w:val="-2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be</w:t>
      </w:r>
      <w:r w:rsidR="006C3EEE"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translated</w:t>
      </w:r>
      <w:r w:rsidR="006C3EEE"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across</w:t>
      </w:r>
      <w:r w:rsidR="006C3EEE" w:rsidRPr="00C075A1">
        <w:rPr>
          <w:rFonts w:ascii="Helvetica" w:hAnsi="Helvetica" w:cstheme="minorHAnsi"/>
          <w:spacing w:val="-5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genres</w:t>
      </w:r>
      <w:r w:rsidR="006C3EEE"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="006C3EEE"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modes</w:t>
      </w:r>
      <w:r w:rsidR="006C3EEE"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of</w:t>
      </w:r>
      <w:r w:rsidR="006C3EEE"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cultural</w:t>
      </w:r>
      <w:r w:rsidR="006C3EEE"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practice.</w:t>
      </w:r>
      <w:r w:rsidR="006C3EEE" w:rsidRPr="00C075A1">
        <w:rPr>
          <w:rFonts w:ascii="Helvetica" w:hAnsi="Helvetica" w:cstheme="minorHAnsi"/>
          <w:spacing w:val="-46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As the increasing number of serious studies of his work attests, we are still coming to terms with all</w:t>
      </w:r>
      <w:r w:rsidR="006C3EEE"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that</w:t>
      </w:r>
      <w:r w:rsidR="006C3EEE"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he</w:t>
      </w:r>
      <w:r w:rsidR="006C3EEE"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has written,</w:t>
      </w:r>
      <w:r w:rsidR="006C3EEE" w:rsidRPr="00C075A1">
        <w:rPr>
          <w:rFonts w:ascii="Helvetica" w:hAnsi="Helvetica" w:cstheme="minorHAnsi"/>
          <w:spacing w:val="-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="006C3EEE"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we</w:t>
      </w:r>
      <w:r w:rsidR="006C3EEE"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are</w:t>
      </w:r>
      <w:r w:rsidR="006C3EEE"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all privileged</w:t>
      </w:r>
      <w:r w:rsidR="006C3EEE"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to be</w:t>
      </w:r>
      <w:r w:rsidR="006C3EEE"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making</w:t>
      </w:r>
      <w:r w:rsidR="006C3EEE"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="006C3EEE" w:rsidRPr="00C075A1">
        <w:rPr>
          <w:rFonts w:ascii="Helvetica" w:hAnsi="Helvetica" w:cstheme="minorHAnsi"/>
          <w:w w:val="105"/>
          <w:sz w:val="22"/>
          <w:szCs w:val="22"/>
        </w:rPr>
        <w:t>this journey.</w:t>
      </w:r>
    </w:p>
    <w:p w14:paraId="5481B569" w14:textId="77777777" w:rsidR="00907092" w:rsidRDefault="006C3EEE" w:rsidP="00527550">
      <w:pPr>
        <w:pStyle w:val="BodyText"/>
        <w:spacing w:before="207" w:line="288" w:lineRule="auto"/>
        <w:ind w:left="113" w:right="309"/>
        <w:jc w:val="both"/>
        <w:rPr>
          <w:rFonts w:ascii="Helvetica" w:hAnsi="Helvetica" w:cstheme="minorHAnsi"/>
          <w:w w:val="105"/>
          <w:sz w:val="22"/>
          <w:szCs w:val="22"/>
        </w:rPr>
      </w:pPr>
      <w:r w:rsidRPr="00C075A1">
        <w:rPr>
          <w:rFonts w:ascii="Helvetica" w:hAnsi="Helvetica" w:cstheme="minorHAnsi"/>
          <w:w w:val="105"/>
          <w:sz w:val="22"/>
          <w:szCs w:val="22"/>
        </w:rPr>
        <w:t>It is therefore befitting that the University of the Witwatersrand, Johannesburg, bestow an Honorary</w:t>
      </w:r>
      <w:r w:rsidRPr="00C075A1">
        <w:rPr>
          <w:rFonts w:ascii="Helvetica" w:hAnsi="Helvetica" w:cstheme="minorHAnsi"/>
          <w:spacing w:val="-47"/>
          <w:w w:val="105"/>
          <w:sz w:val="22"/>
          <w:szCs w:val="22"/>
        </w:rPr>
        <w:t xml:space="preserve"> </w:t>
      </w:r>
      <w:r w:rsidR="00527550" w:rsidRPr="00C075A1">
        <w:rPr>
          <w:rFonts w:ascii="Helvetica" w:hAnsi="Helvetica" w:cstheme="minorHAnsi"/>
          <w:spacing w:val="-47"/>
          <w:w w:val="105"/>
          <w:sz w:val="22"/>
          <w:szCs w:val="22"/>
        </w:rPr>
        <w:t xml:space="preserve">  D    o    c    t     o    r      a    t    e      </w:t>
      </w:r>
      <w:r w:rsidRPr="00C075A1">
        <w:rPr>
          <w:rFonts w:ascii="Helvetica" w:hAnsi="Helvetica" w:cstheme="minorHAnsi"/>
          <w:w w:val="105"/>
          <w:sz w:val="22"/>
          <w:szCs w:val="22"/>
        </w:rPr>
        <w:t>Degree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Zakes</w:t>
      </w:r>
      <w:proofErr w:type="spellEnd"/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proofErr w:type="spellStart"/>
      <w:r w:rsidRPr="00C075A1">
        <w:rPr>
          <w:rFonts w:ascii="Helvetica" w:hAnsi="Helvetica" w:cstheme="minorHAnsi"/>
          <w:w w:val="105"/>
          <w:sz w:val="22"/>
          <w:szCs w:val="22"/>
        </w:rPr>
        <w:t>Mda</w:t>
      </w:r>
      <w:proofErr w:type="spellEnd"/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in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acknowledgment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of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his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contribution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to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South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Africa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the</w:t>
      </w:r>
      <w:r w:rsidRPr="00C075A1">
        <w:rPr>
          <w:rFonts w:ascii="Helvetica" w:hAnsi="Helvetica" w:cstheme="minorHAnsi"/>
          <w:spacing w:val="-4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world’s</w:t>
      </w:r>
      <w:r w:rsidRPr="00C075A1">
        <w:rPr>
          <w:rFonts w:ascii="Helvetica" w:hAnsi="Helvetica" w:cstheme="minorHAnsi"/>
          <w:spacing w:val="-3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cultural</w:t>
      </w:r>
      <w:r w:rsidRPr="00C075A1">
        <w:rPr>
          <w:rFonts w:ascii="Helvetica" w:hAnsi="Helvetica" w:cstheme="minorHAnsi"/>
          <w:spacing w:val="-46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and</w:t>
      </w:r>
      <w:r w:rsidRPr="00C075A1">
        <w:rPr>
          <w:rFonts w:ascii="Helvetica" w:hAnsi="Helvetica" w:cstheme="minorHAnsi"/>
          <w:spacing w:val="1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literary</w:t>
      </w:r>
      <w:r w:rsidRPr="00C075A1">
        <w:rPr>
          <w:rFonts w:ascii="Helvetica" w:hAnsi="Helvetica" w:cstheme="minorHAnsi"/>
          <w:spacing w:val="2"/>
          <w:w w:val="105"/>
          <w:sz w:val="22"/>
          <w:szCs w:val="22"/>
        </w:rPr>
        <w:t xml:space="preserve"> </w:t>
      </w:r>
      <w:r w:rsidRPr="00C075A1">
        <w:rPr>
          <w:rFonts w:ascii="Helvetica" w:hAnsi="Helvetica" w:cstheme="minorHAnsi"/>
          <w:w w:val="105"/>
          <w:sz w:val="22"/>
          <w:szCs w:val="22"/>
        </w:rPr>
        <w:t>sphere.</w:t>
      </w:r>
    </w:p>
    <w:sectPr w:rsidR="00907092">
      <w:pgSz w:w="11910" w:h="16840"/>
      <w:pgMar w:top="10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92"/>
    <w:rsid w:val="00144588"/>
    <w:rsid w:val="00285CC0"/>
    <w:rsid w:val="00527550"/>
    <w:rsid w:val="00596FA6"/>
    <w:rsid w:val="006C3EEE"/>
    <w:rsid w:val="00717C31"/>
    <w:rsid w:val="007E4967"/>
    <w:rsid w:val="00907092"/>
    <w:rsid w:val="00C0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D67DF9"/>
  <w15:docId w15:val="{25347C62-A2F6-48AC-8D60-28A5315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6"/>
      <w:ind w:left="102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8"/>
      <w:ind w:left="102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Honorary Doctorate Citation Zakes Mda.docx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Honorary Doctorate Citation Zakes Mda.docx</dc:title>
  <dc:creator>Elizabeth King</dc:creator>
  <cp:lastModifiedBy>Elizabeth King</cp:lastModifiedBy>
  <cp:revision>6</cp:revision>
  <dcterms:created xsi:type="dcterms:W3CDTF">2022-06-30T13:44:00Z</dcterms:created>
  <dcterms:modified xsi:type="dcterms:W3CDTF">2022-07-15T06:36:00Z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Word</vt:lpwstr>
  </property>
  <property fmtid="{D5CDD505-2E9C-101B-9397-08002B2CF9AE}" pid="4" name="LastSaved">
    <vt:filetime>2022-03-17T00:00:00Z</vt:filetime>
  </property>
</Properties>
</file>